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F86" w:rsidRPr="007F2E6B" w:rsidRDefault="00A95F86" w:rsidP="00A95F86">
      <w:pPr>
        <w:rPr>
          <w:rFonts w:ascii="仿宋_GB2312" w:eastAsia="仿宋_GB2312"/>
          <w:b/>
          <w:sz w:val="32"/>
          <w:szCs w:val="32"/>
        </w:rPr>
      </w:pPr>
      <w:r w:rsidRPr="007F2E6B">
        <w:rPr>
          <w:rFonts w:ascii="仿宋_GB2312" w:eastAsia="仿宋_GB2312" w:hint="eastAsia"/>
          <w:b/>
          <w:sz w:val="32"/>
          <w:szCs w:val="32"/>
        </w:rPr>
        <w:t>三峡库区范围：</w:t>
      </w:r>
    </w:p>
    <w:p w:rsidR="00A95F86" w:rsidRPr="00B57C9E" w:rsidRDefault="00A95F86" w:rsidP="00A95F86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秭归县、兴山县</w:t>
      </w:r>
      <w:r w:rsidRPr="00B57C9E">
        <w:rPr>
          <w:rFonts w:ascii="仿宋_GB2312" w:eastAsia="仿宋_GB2312" w:hint="eastAsia"/>
          <w:sz w:val="28"/>
          <w:szCs w:val="28"/>
        </w:rPr>
        <w:t>、巴东县、巫山县、巫溪县、奉节县、云阳县、开县、万州区、忠县、涪陵区、丰都县、武隆县、石柱县、长寿县、渝北区、巴县、江津市、重庆市区的渝中区、沙坪坝区、南岸区、九龙坡区、大渡口区和江北区</w:t>
      </w:r>
    </w:p>
    <w:p w:rsidR="00CB5E17" w:rsidRPr="00A95F86" w:rsidRDefault="00CB5E17"/>
    <w:sectPr w:rsidR="00CB5E17" w:rsidRPr="00A95F86" w:rsidSect="00CB5E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95F86"/>
    <w:rsid w:val="00A95F86"/>
    <w:rsid w:val="00CB5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F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Company>微软中国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2014-11-06T01:21:00Z</dcterms:created>
  <dcterms:modified xsi:type="dcterms:W3CDTF">2014-11-06T01:21:00Z</dcterms:modified>
</cp:coreProperties>
</file>